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color w:val="2F373F"/>
          <w:sz w:val="24"/>
          <w:szCs w:val="24"/>
          <w:lang w:eastAsia="ru-RU"/>
        </w:rPr>
        <w:t xml:space="preserve">Объявление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color w:val="2F373F"/>
          <w:sz w:val="24"/>
          <w:szCs w:val="24"/>
          <w:lang w:eastAsia="ru-RU"/>
        </w:rPr>
        <w:t xml:space="preserve">о проведении процедур выбора аудиторской организации 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АО «Казахстанский оператор рынка электрической энергии и мощности»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юридический  и  фактический  (почтовый) адрес: 010000, г. Астана, пр. Туран,18, блок А, 4 этаж,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каб. 410, </w:t>
      </w:r>
      <w:hyperlink r:id="rId2"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koremadm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korem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kz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объявляет о проведении процедур выбора аудиторской организации.</w:t>
      </w:r>
    </w:p>
    <w:p>
      <w:pPr>
        <w:pStyle w:val="style28"/>
        <w:ind w:firstLine="709" w:left="0" w:right="0"/>
      </w:pPr>
      <w:r>
        <w:rPr/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Соглашение о конфиденциальности:</w:t>
      </w:r>
    </w:p>
    <w:p>
      <w:pPr>
        <w:pStyle w:val="style28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Текст соглашения о конфиденциальности, прилагается к данному объявлению </w:t>
      </w:r>
    </w:p>
    <w:p>
      <w:pPr>
        <w:pStyle w:val="style28"/>
        <w:jc w:val="both"/>
      </w:pPr>
      <w:r>
        <w:rPr>
          <w:rFonts w:ascii="Times New Roman" w:cs="Times New Roman" w:hAnsi="Times New Roman"/>
          <w:sz w:val="24"/>
          <w:szCs w:val="24"/>
        </w:rPr>
        <w:t>в электронном виде.</w:t>
      </w:r>
    </w:p>
    <w:p>
      <w:pPr>
        <w:pStyle w:val="style28"/>
        <w:ind w:firstLine="709" w:left="0" w:right="0"/>
      </w:pPr>
      <w:r>
        <w:rPr/>
      </w:r>
    </w:p>
    <w:p>
      <w:pPr>
        <w:pStyle w:val="style0"/>
        <w:spacing w:after="0" w:before="0" w:line="100" w:lineRule="atLeast"/>
        <w:ind w:firstLine="567" w:left="142" w:right="0"/>
        <w:jc w:val="both"/>
      </w:pPr>
      <w:r>
        <w:rPr>
          <w:rFonts w:ascii="Times New Roman" w:cs="Times New Roman" w:hAnsi="Times New Roman"/>
          <w:b/>
          <w:sz w:val="24"/>
          <w:szCs w:val="24"/>
          <w:lang w:val="kk-KZ"/>
        </w:rPr>
        <w:t>Объем закупаемых аудиторских и сопутствующих услуг за 2012 год</w:t>
      </w:r>
    </w:p>
    <w:p>
      <w:pPr>
        <w:pStyle w:val="style0"/>
        <w:spacing w:after="0" w:before="0" w:line="100" w:lineRule="atLeast"/>
        <w:ind w:firstLine="567" w:left="142" w:right="0"/>
        <w:jc w:val="both"/>
      </w:pPr>
      <w:r>
        <w:rPr>
          <w:rFonts w:ascii="Times New Roman" w:cs="Times New Roman" w:hAnsi="Times New Roman"/>
          <w:b/>
          <w:sz w:val="24"/>
          <w:szCs w:val="24"/>
          <w:lang w:val="kk-KZ"/>
        </w:rPr>
        <w:t>и 1 полугодие 2013 года.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>1. Поставщик представляет аудиторский отчет по следующим видам аудита: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 xml:space="preserve">1) аудит  финансовой отчетности Заказчика за 2012 год и аудиторский обзор финансовой отчетности за 1 полугодие 2013 года на соответствие Международным Стандартам Финансовой Отчетности (далее - МСФО)  проведенный в соответствии с Международными Стандартами Аудита (далее - МСА). Аудиторский отчет Поставщика должен основываться на результатах анализа и содержать мнение о том, представлена ли указанная выше  финансовая  отчетность  </w:t>
      </w:r>
      <w:r>
        <w:rPr>
          <w:bCs/>
          <w:color w:val="000000"/>
          <w:szCs w:val="24"/>
        </w:rPr>
        <w:t>АО «Казахстанский оператор рынка электрической энергии и мощности»</w:t>
      </w:r>
      <w:r>
        <w:rPr>
          <w:color w:val="000000"/>
          <w:szCs w:val="24"/>
        </w:rPr>
        <w:t xml:space="preserve"> </w:t>
      </w:r>
      <w:r>
        <w:rPr>
          <w:szCs w:val="24"/>
        </w:rPr>
        <w:t>в соответствии с положениями МСФО и не содержит ли она существенных искажений;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>2) аудиторский   отчет   о  подтверждении   финансовой  отчетности  за  2012  год  и аудиторский обзор финансовой отчетности за 1 полугодие 2013 года по формам, утвержденным Министерством финансов Республики Казахстан от  20 августа 2010 года № 422 для публикации;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>3) аудиторский отчет о подтверждении финансовой отчетности за 2012 год и аудиторский обзор финансовой отчетности за 1 полугодие 2013 года по формам, утвержденным АО «Самрук- Казына»;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>4) аудиторский обзор  Подробного анализа финансовой отчетности  за 2012 год и за 1 полугодие 2013 года в соответствии с Методическими рекомендациями АО «Самрук- Казына».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>2.  По результатам аудита финансовой отчетности Поставщик должен подготовить письма руководству с выражением мнения по каждому указанному вопросу и предоставлением соответствующих рекомендаций,  отмеченным в ходе аудита, в случае обнаружения несоответствия, предложить вниманию руководству соответствующие рекомендации, направленные на оказание помощи в процессе развития текущей деятельности:</w:t>
      </w:r>
    </w:p>
    <w:p>
      <w:pPr>
        <w:pStyle w:val="style30"/>
        <w:tabs>
          <w:tab w:leader="none" w:pos="708" w:val="left"/>
          <w:tab w:leader="none" w:pos="851" w:val="left"/>
          <w:tab w:leader="none" w:pos="1560" w:val="left"/>
        </w:tabs>
        <w:ind w:firstLine="567" w:left="0" w:right="0"/>
        <w:jc w:val="both"/>
      </w:pPr>
      <w:r>
        <w:rPr>
          <w:szCs w:val="24"/>
        </w:rPr>
        <w:t>- системы бухгалтерского учета (в том числе, описание процедур ведения бухгалтерского учета) и составления финансовой отчетности;</w:t>
      </w:r>
    </w:p>
    <w:p>
      <w:pPr>
        <w:pStyle w:val="style30"/>
        <w:tabs>
          <w:tab w:leader="none" w:pos="708" w:val="left"/>
          <w:tab w:leader="none" w:pos="851" w:val="left"/>
        </w:tabs>
        <w:ind w:firstLine="567" w:left="0" w:right="0"/>
        <w:jc w:val="both"/>
      </w:pPr>
      <w:r>
        <w:rPr>
          <w:szCs w:val="24"/>
        </w:rPr>
        <w:t>- методов и процедур проведения инвентаризации активов и обязательств, включая сверку дебиторской и кредиторской задолженностей с поставщиками товаров, работ и услуг;</w:t>
      </w:r>
    </w:p>
    <w:p>
      <w:pPr>
        <w:pStyle w:val="style0"/>
        <w:shd w:fill="FFFFFF" w:val="clear"/>
        <w:tabs>
          <w:tab w:leader="none" w:pos="708" w:val="left"/>
          <w:tab w:leader="none" w:pos="960" w:val="left"/>
        </w:tabs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систем взаимодействия сотрудников, задействованных в формировании финансовой отчетности, в части сведений, относительно аудированной финансовой отчетностей;</w:t>
      </w:r>
    </w:p>
    <w:p>
      <w:pPr>
        <w:pStyle w:val="style0"/>
        <w:tabs>
          <w:tab w:leader="none" w:pos="708" w:val="left"/>
          <w:tab w:leader="none" w:pos="960" w:val="left"/>
          <w:tab w:leader="none" w:pos="1080" w:val="left"/>
        </w:tabs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выявленных случаев хищения и ошибок при ведении бухгалтерского учета и составлении финансовой отчетности (мошенничество).</w:t>
      </w:r>
    </w:p>
    <w:p>
      <w:pPr>
        <w:pStyle w:val="style0"/>
        <w:tabs>
          <w:tab w:leader="none" w:pos="708" w:val="left"/>
          <w:tab w:leader="none" w:pos="1080" w:val="left"/>
        </w:tabs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системы внутреннего контроля и управления  рисками.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>Примечание:</w:t>
      </w:r>
    </w:p>
    <w:p>
      <w:pPr>
        <w:pStyle w:val="style30"/>
        <w:tabs>
          <w:tab w:leader="none" w:pos="708" w:val="left"/>
          <w:tab w:leader="none" w:pos="851" w:val="left"/>
        </w:tabs>
        <w:ind w:firstLine="540" w:left="0" w:right="0"/>
        <w:jc w:val="both"/>
      </w:pPr>
      <w:r>
        <w:rPr>
          <w:szCs w:val="24"/>
        </w:rPr>
        <w:t>В связи с тем, что Заказчик входит в группу АО «Фонд национального благосостояния «Самрук-Казына» (далее - Фонд), Поставщик должен оказывать содействие внешнему аудитору Фонда при подготовке его консолидированной финансовой отчетности, в том числе предоставлять доступ к рабочим бумагам. При этом, возможные затраты Поставщика включаются в общую цену договора.</w:t>
      </w:r>
    </w:p>
    <w:p>
      <w:pPr>
        <w:pStyle w:val="style28"/>
        <w:ind w:firstLine="709" w:left="0" w:right="0"/>
      </w:pPr>
      <w:r>
        <w:rPr/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Электронную копию Запроса на участие в Процедуре выбора потенциальный Участник может получить, направив официальный запрос на электронные адреса </w:t>
      </w:r>
      <w:hyperlink r:id="rId3"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koremadm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korem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kz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hyperlink r:id="rId4"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doronin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korem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kz</w:t>
        </w:r>
      </w:hyperlink>
      <w:r>
        <w:rPr/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hyperlink r:id="rId5"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ahambaeva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korem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sz w:val="24"/>
            <w:szCs w:val="24"/>
            <w:lang w:eastAsia="ru-RU" w:val="en-US"/>
          </w:rPr>
          <w:t>kz</w:t>
        </w:r>
      </w:hyperlink>
      <w:r>
        <w:rPr>
          <w:rFonts w:ascii="Times New Roman" w:cs="Times New Roman" w:hAnsi="Times New Roman"/>
          <w:sz w:val="24"/>
          <w:szCs w:val="24"/>
        </w:rPr>
        <w:t xml:space="preserve"> после подписания и предоставления соглашения о конфиденциальности. </w:t>
      </w:r>
    </w:p>
    <w:p>
      <w:pPr>
        <w:pStyle w:val="style28"/>
        <w:ind w:firstLine="709" w:left="0" w:right="0"/>
      </w:pPr>
      <w:r>
        <w:rPr/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Регистрация конвертов с официальными предложениями на оказание услуг от потенциальных Участников будет осуществляться по адресу: Республика Казахстан, 010000, г. Астана,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пр. Туран,18, блок А, каб. 410, 4 этаж</w:t>
      </w:r>
      <w:r>
        <w:rPr>
          <w:rFonts w:ascii="Times New Roman" w:cs="Times New Roman" w:hAnsi="Times New Roman"/>
          <w:sz w:val="24"/>
          <w:szCs w:val="24"/>
        </w:rPr>
        <w:t>, в срок с 11:00 часов 07 декабря до 12:00 час. 07 декабря 2012 года.</w:t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Окончательный срок и место предоставления конвертов с официальными предложениями на оказание услуг от потенциальных Участников: до 11:00 час. 07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декабря 2012 года по адресу Республика Казахстан, 010000, г. Астана,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пр. Туран,18, блок А, каб. 410, 4 этаж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30"/>
        <w:ind w:firstLine="540" w:left="0" w:right="0"/>
        <w:jc w:val="both"/>
      </w:pPr>
      <w:r>
        <w:rPr/>
      </w:r>
    </w:p>
    <w:p>
      <w:pPr>
        <w:pStyle w:val="style30"/>
        <w:ind w:firstLine="709" w:left="0" w:right="0"/>
        <w:jc w:val="both"/>
      </w:pPr>
      <w:r>
        <w:rPr>
          <w:b/>
          <w:szCs w:val="24"/>
        </w:rPr>
        <w:t xml:space="preserve">Сумма, выделенная (предусмотренная) для закупки </w:t>
      </w:r>
      <w:r>
        <w:rPr>
          <w:b/>
          <w:szCs w:val="24"/>
          <w:lang w:val="kk-KZ"/>
        </w:rPr>
        <w:t>аудиторских и сопутствующих услуг за 2012 год и 1 полугодие 2013 года</w:t>
      </w:r>
      <w:r>
        <w:rPr>
          <w:b/>
          <w:szCs w:val="24"/>
        </w:rPr>
        <w:t>, составляет:</w:t>
      </w:r>
    </w:p>
    <w:p>
      <w:pPr>
        <w:pStyle w:val="style30"/>
        <w:ind w:firstLine="540" w:left="0" w:right="0"/>
        <w:jc w:val="both"/>
      </w:pPr>
      <w:r>
        <w:rPr>
          <w:szCs w:val="24"/>
        </w:rPr>
        <w:t>-  с НДС, 1 400 000 (один миллион четыреста тысяч) тенге.</w:t>
      </w:r>
    </w:p>
    <w:p>
      <w:pPr>
        <w:pStyle w:val="style28"/>
        <w:ind w:firstLine="709" w:left="0" w:right="0"/>
      </w:pPr>
      <w:r>
        <w:rPr/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Аудиторская организация (компания) не вправе участвовать в Процедуре выбора, если она состоит в Перечне ненадежных потенциальных поставщиков АО «Самрук -</w:t>
      </w:r>
      <w:r>
        <w:rPr>
          <w:rFonts w:ascii="Times New Roman" w:cs="Times New Roman" w:hAnsi="Times New Roman"/>
          <w:sz w:val="24"/>
          <w:szCs w:val="24"/>
          <w:lang w:eastAsia="ru-RU" w:val="kk-KZ"/>
        </w:rPr>
        <w:t>Қ</w:t>
      </w:r>
      <w:r>
        <w:rPr>
          <w:rFonts w:ascii="Times New Roman" w:cs="Times New Roman" w:hAnsi="Times New Roman"/>
          <w:sz w:val="24"/>
          <w:szCs w:val="24"/>
          <w:lang w:eastAsia="ru-RU"/>
        </w:rPr>
        <w:t>азына» и/ или в Реестре недобросовестных участников государственных закупок.</w:t>
      </w:r>
    </w:p>
    <w:p>
      <w:pPr>
        <w:pStyle w:val="style28"/>
        <w:ind w:firstLine="709" w:left="0" w:right="0"/>
      </w:pPr>
      <w:r>
        <w:rPr/>
      </w:r>
    </w:p>
    <w:p>
      <w:pPr>
        <w:pStyle w:val="style0"/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color w:val="3D3D3D"/>
          <w:sz w:val="24"/>
          <w:szCs w:val="24"/>
          <w:lang w:eastAsia="ru-RU"/>
        </w:rPr>
        <w:t>Дополнительную информацию и справки можно получить по телефонам: 8 (7172) 559-465, 559-464.</w:t>
      </w:r>
    </w:p>
    <w:p>
      <w:pPr>
        <w:pStyle w:val="style0"/>
        <w:spacing w:after="0" w:before="0" w:line="100" w:lineRule="atLeast"/>
        <w:ind w:firstLine="709" w:left="0" w:right="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23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ListLabel 1"/>
    <w:next w:val="style20"/>
    <w:rPr>
      <w:b w:val="false"/>
      <w:i w:val="false"/>
    </w:rPr>
  </w:style>
  <w:style w:styleId="style21" w:type="character">
    <w:name w:val="ListLabel 2"/>
    <w:next w:val="style21"/>
    <w:rPr>
      <w:b w:val="false"/>
      <w:i w:val="false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Normal (Web)"/>
    <w:basedOn w:val="style0"/>
    <w:next w:val="style27"/>
    <w:pPr>
      <w:spacing w:after="270" w:before="0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No Spacing"/>
    <w:next w:val="style28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0" w:type="paragraph">
    <w:name w:val="Нумерованный 0.5"/>
    <w:basedOn w:val="style0"/>
    <w:next w:val="style30"/>
    <w:pPr>
      <w:spacing w:after="0" w:before="0" w:line="100" w:lineRule="atLeast"/>
    </w:pPr>
    <w:rPr>
      <w:rFonts w:ascii="Times New Roman" w:cs="Times New Roman" w:eastAsia="Times New Roman" w:hAnsi="Times New Roman"/>
      <w:sz w:val="24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emadm@korem.kz" TargetMode="External"/><Relationship Id="rId3" Type="http://schemas.openxmlformats.org/officeDocument/2006/relationships/hyperlink" Target="mailto:koremadm@korem.kz" TargetMode="External"/><Relationship Id="rId4" Type="http://schemas.openxmlformats.org/officeDocument/2006/relationships/hyperlink" Target="mailto:doronin@korem.kz" TargetMode="External"/><Relationship Id="rId5" Type="http://schemas.openxmlformats.org/officeDocument/2006/relationships/hyperlink" Target="mailto:ahambaeva@korem.k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2012-11-30T09:51:00.00Z</dcterms:created>
  <dc:creator>ww</dc:creator>
  <cp:lastModifiedBy>Ахамбаева</cp:lastModifiedBy>
  <cp:lastPrinted>2012-11-20T05:18:00.00Z</cp:lastPrinted>
  <dcterms:modified xsi:type="dcterms:W3CDTF">2012-11-30T11:02:00.00Z</dcterms:modified>
  <cp:revision>6</cp:revision>
</cp:coreProperties>
</file>